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итогах работы с обращениями граждан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Металлургического района города Челябинска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2023 года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2023 года в Администрацию Металлургического района города Челябинска (далее – Администрация района) поступило  374 обращения, содержащих 661  вопрос,  в том числе в письменной форме – 69, в форме электронного документа – 288, устных обращений – 17.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виду обращений: 360 заявлений, 2 предложения, 3 благодарности, 9 запросов информации по обращению граждан.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rong"/>
        </w:rPr>
        <w:tab/>
      </w:r>
      <w:r>
        <w:rPr>
          <w:rStyle w:val="Strong"/>
          <w:b w:val="false"/>
          <w:sz w:val="28"/>
          <w:szCs w:val="28"/>
        </w:rPr>
        <w:t>334</w:t>
      </w:r>
      <w:r>
        <w:rPr>
          <w:rStyle w:val="Strong"/>
          <w:b w:val="false"/>
          <w:sz w:val="26"/>
          <w:szCs w:val="26"/>
        </w:rPr>
        <w:t xml:space="preserve"> обращения поступили непосредственно в Администрацию района,</w:t>
      </w:r>
      <w:r>
        <w:rPr>
          <w:sz w:val="26"/>
          <w:szCs w:val="26"/>
        </w:rPr>
        <w:t xml:space="preserve">             31 обращение и 9 запросов информации поступили из иных органов.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поступило 1 повторное обращение.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366  обращений, поступивших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2023, поставлены на контроль. 170 из контрольных обращений исполнены, 194 сняты с контроля после переадресации     в соответствии с принадлежностью вопросов в иные органы власти.</w:t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отчётный период Администрация района рассмотрела 178 обращений,         из которых 162 рассмотрены в сокращенные сроки (менее 30 дней) с момента регистрации. 31 обращение, поступившее в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2023 года, остается на рассмотрении.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результатам рассмотрения поддержано 113 обращений, из которых по 73 приняты меры. По 65 обращениям заявители получили разъяснения.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 ответа по существу, в соответствии  с законодательством, оставлено 3 обращения (все являются благодарностями).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рассмотренным обращениям: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- 55  рассмотрены коллегиально;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- 46 рассмотрены с участием авторов обращения;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- 47 рассмотрены с выездом на место.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отчетном периоде  нарушение сроков и порядка рассмотрения не допускалось.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Вопросы, поступившие в обращениях, распределились по следующим тематическим разделам: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«Жилищно-коммунальная сфера» (вопросы содержания общего имущества многоквартирных домов, работы управляющих компаний, перебои в предоставлении коммунальных услуг, предоставление коммунальных услуг ненадлежащего качества, обеспечение жильем) – 287 (43,4%);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«Экономика» (благоустройство, ремонт дорог, озеленение, уличное освещение, очистка от мусора, деятельность предприятий торговли) – 239 (36,2% поступивших обращений);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«Государство, общество, политика» (деятельность органов государственной власти и местного самоуправления, работа по обращениям, вопросы гражданского права) –  79 (11,9%);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«Оборона, безопасность, законность» (охрана общественного порядка, привлечение к адинистративной ответственности) – 35 (5,3%);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«Социальная сфера» (социальное обеспечение, здравоохранение, образование, наука, физкультура, спорт) – 21 (3,2%).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ходе рассмотрения обращений общественно значимых, резонансных вопросов, решение которых относится к полномочиям Администрации района,           не выявлено.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Существенное количество  рассмотренных  в Администрации района обращений связано с вопросами: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коммунальных услуг ненадлежащего качества и перебоев       с предоставлением теплоснабжения – 19 (9,9% рассмотренных вопросов);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организации и восстановления уличного освещения – 18 (9,4% рассмотренных вопросов);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санитарного состояния территории района – 18 (9,4%);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комплексного благоустройства общественных пространств – 13 (6,6% рассмотренных вопросов);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благоустройства, ремонта дорог и проездов – 12 (6,3%);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обрезки зеленых насаждений – 12 (6,3%);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комплексного благоустройства дворовых территорий – 11 (5,7%).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в отчетном периоде в Администрацию района поступили  и рассмотрены обращения  по вопросам: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работы управляющих компаний;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общего имущества и придомовых территорий многоквартирных домов;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с твёрдыми коммунальными отходами;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уборки территории от снега;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деятельности предприятий торговли;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ремонта и эксплуатации ливневой канализации.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течение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квартала 2023 года в Администрации района было проведено          10 личных приёмов граждан Главой Металлургического района и его заместителями, в ходе которых принято 15 граждан. В ходе личных приемов руководителями Администрации района рассмотрены следующие вопросы: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дворовых территорий;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восстановление освещения на общественной территории;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управляющей компанией обязанности по содержанию общего имущества и придомовой территории многоквартирного дома;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 инженерных сетей теплоснабжения;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управляющей компании;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помощь и поддержка участнику специальной военной операции;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коммунальной услуги по теплоснабжению МКД ненадлежащего качества.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в отчетном периоде Главой района проведен тематический прием жителей поселка Каштак по вопросам благоустройства территории, предоставления  жителям поселка  коммунальных ресурсов надлежащего качества, обеспечения доступности транспортного сообщения и лекарственного обеспечения.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13 обращений граждан, поступивших в ходе личных приемов руководителями Администрации района предоставлены ответы по существу, приняты необходимые меры, 2 обращения остаются на рассмотрении.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2023 года проведено 3 личных приема уполномоченными лицами (руководителями структурных подразделений Администрации района), принято 3 человека. Заявителям оперативно предоставлены ответы по существу обращения.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284" w:top="567" w:footer="0" w:bottom="1134" w:gutter="0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8140400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8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</w:r>
  </w:p>
</w:hdr>
</file>

<file path=word/settings.xml><?xml version="1.0" encoding="utf-8"?>
<w:settings xmlns:w="http://schemas.openxmlformats.org/wordprocessingml/2006/main">
  <w:zoom w:percent="121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jc w:val="both"/>
      <w:outlineLvl w:val="5"/>
    </w:pPr>
    <w:rPr>
      <w:sz w:val="24"/>
    </w:rPr>
  </w:style>
  <w:style w:type="paragraph" w:styleId="7">
    <w:name w:val="Heading 7"/>
    <w:basedOn w:val="Normal"/>
    <w:next w:val="Normal"/>
    <w:qFormat/>
    <w:pPr>
      <w:keepNext w:val="true"/>
      <w:ind w:right="192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jc w:val="both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ind w:left="851" w:hanging="142"/>
      <w:outlineLvl w:val="8"/>
    </w:pPr>
    <w:rPr>
      <w:rFonts w:ascii="Arial" w:hAnsi="Arial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Посещённая гиперссылка"/>
    <w:rPr>
      <w:color w:val="800080"/>
      <w:u w:val="single"/>
    </w:rPr>
  </w:style>
  <w:style w:type="character" w:styleId="Pagenumber">
    <w:name w:val="page number"/>
    <w:basedOn w:val="DefaultParagraphFont"/>
    <w:qFormat/>
    <w:rsid w:val="00332629"/>
    <w:rPr/>
  </w:style>
  <w:style w:type="character" w:styleId="Style7" w:customStyle="1">
    <w:name w:val="Текст выноски Знак"/>
    <w:basedOn w:val="DefaultParagraphFont"/>
    <w:link w:val="ac"/>
    <w:qFormat/>
    <w:rsid w:val="008f57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055"/>
    <w:rPr>
      <w:b/>
      <w:bCs/>
    </w:rPr>
  </w:style>
  <w:style w:type="character" w:styleId="Style8" w:customStyle="1">
    <w:name w:val="Текст сноски Знак"/>
    <w:basedOn w:val="DefaultParagraphFont"/>
    <w:link w:val="af"/>
    <w:qFormat/>
    <w:rsid w:val="006a68ca"/>
    <w:rPr/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6a68ca"/>
    <w:rPr>
      <w:vertAlign w:val="superscript"/>
    </w:rPr>
  </w:style>
  <w:style w:type="character" w:styleId="Style10" w:customStyle="1">
    <w:name w:val="Верхний колонтитул Знак"/>
    <w:basedOn w:val="DefaultParagraphFont"/>
    <w:link w:val="a7"/>
    <w:uiPriority w:val="99"/>
    <w:qFormat/>
    <w:rsid w:val="00607d8b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/>
    <w:rPr>
      <w:sz w:val="28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8"/>
    </w:rPr>
  </w:style>
  <w:style w:type="paragraph" w:styleId="Style16">
    <w:name w:val="Body Text Indent"/>
    <w:basedOn w:val="Normal"/>
    <w:pPr>
      <w:ind w:firstLine="720"/>
      <w:jc w:val="both"/>
    </w:pPr>
    <w:rPr>
      <w:sz w:val="28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b/>
      <w:sz w:val="28"/>
    </w:rPr>
  </w:style>
  <w:style w:type="paragraph" w:styleId="BodyText3">
    <w:name w:val="Body Text 3"/>
    <w:basedOn w:val="Normal"/>
    <w:qFormat/>
    <w:pPr>
      <w:ind w:right="192" w:hanging="0"/>
    </w:pPr>
    <w:rPr>
      <w:sz w:val="28"/>
    </w:rPr>
  </w:style>
  <w:style w:type="paragraph" w:styleId="BodyTextIndent3">
    <w:name w:val="Body Text Indent 3"/>
    <w:basedOn w:val="Normal"/>
    <w:qFormat/>
    <w:pPr>
      <w:ind w:left="993" w:hanging="0"/>
      <w:jc w:val="both"/>
    </w:pPr>
    <w:rPr>
      <w:sz w:val="28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8"/>
    <w:uiPriority w:val="99"/>
    <w:rsid w:val="0033262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793d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qFormat/>
    <w:rsid w:val="008f57ea"/>
    <w:pPr/>
    <w:rPr>
      <w:rFonts w:ascii="Tahoma" w:hAnsi="Tahoma" w:cs="Tahoma"/>
      <w:sz w:val="16"/>
      <w:szCs w:val="16"/>
    </w:rPr>
  </w:style>
  <w:style w:type="paragraph" w:styleId="Style20">
    <w:name w:val="Footnote Text"/>
    <w:basedOn w:val="Normal"/>
    <w:link w:val="af0"/>
    <w:rsid w:val="006a68c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43c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DCE6-BABF-4B1B-BEA4-9DF7F4F0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617</Words>
  <Characters>4472</Characters>
  <CharactersWithSpaces>5156</CharactersWithSpaces>
  <Paragraphs>53</Paragraphs>
  <Company>Администрация г.Челябинска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2024-01-12T11:00:00Z</dcterms:created>
  <dc:creator>Протокольная часть</dc:creator>
  <dc:description/>
  <dc:language>ru-RU</dc:language>
  <cp:lastModifiedBy/>
  <cp:lastPrinted>2024-01-12T06:39:00Z</cp:lastPrinted>
  <dcterms:modified xsi:type="dcterms:W3CDTF">2024-02-22T14:14:22Z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